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2"/>
          <w:szCs w:val="32"/>
        </w:rPr>
        <w:t>附件2:</w:t>
      </w:r>
    </w:p>
    <w:p>
      <w:pPr>
        <w:tabs>
          <w:tab w:val="left" w:pos="300"/>
          <w:tab w:val="center" w:pos="4153"/>
          <w:tab w:val="right" w:pos="8306"/>
        </w:tabs>
        <w:spacing w:beforeLines="50" w:afterLines="50" w:line="540" w:lineRule="exact"/>
        <w:jc w:val="left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44"/>
          <w:szCs w:val="44"/>
        </w:rPr>
        <w:tab/>
      </w:r>
      <w:r>
        <w:rPr>
          <w:rFonts w:hint="eastAsia" w:ascii="宋体" w:hAnsi="宋体"/>
          <w:b/>
          <w:sz w:val="44"/>
          <w:szCs w:val="44"/>
        </w:rPr>
        <w:tab/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年度宁化县本级政府决算相关重要事项说明</w:t>
      </w:r>
      <w:r>
        <w:rPr>
          <w:rFonts w:hint="eastAsia" w:ascii="宋体" w:hAnsi="宋体"/>
          <w:b/>
          <w:sz w:val="36"/>
          <w:szCs w:val="36"/>
        </w:rPr>
        <w:tab/>
      </w:r>
    </w:p>
    <w:p>
      <w:pPr>
        <w:tabs>
          <w:tab w:val="left" w:pos="300"/>
          <w:tab w:val="center" w:pos="4153"/>
          <w:tab w:val="right" w:pos="8306"/>
        </w:tabs>
        <w:spacing w:beforeLines="50" w:afterLines="50" w:line="540" w:lineRule="exact"/>
        <w:jc w:val="left"/>
        <w:rPr>
          <w:rFonts w:ascii="宋体" w:hAnsi="宋体"/>
          <w:b/>
          <w:sz w:val="44"/>
          <w:szCs w:val="44"/>
        </w:rPr>
      </w:pP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一、县本级支出决算说明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年度宁化县本级一般公共决算支出数为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282960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减少4591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下降1.60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%。具体情况如下：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(一)201-一般公共服务支出科目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14300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减少5024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下降26.00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%。其中: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20101-人大事务科目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897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减少26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下降2.82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20102-政协事务科目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686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下降1.29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20103-政府办公厅(室)及相关机构事务科目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1798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减少1188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下降39.79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主要原因是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行政运行减少了767万元，其他</w:t>
      </w:r>
      <w:r>
        <w:rPr>
          <w:rFonts w:hint="eastAsia" w:ascii="仿宋" w:hAnsi="仿宋" w:eastAsia="仿宋" w:cs="Arial"/>
          <w:kern w:val="0"/>
          <w:sz w:val="32"/>
          <w:szCs w:val="32"/>
        </w:rPr>
        <w:t>政府办公厅(室)及相关机构事务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支出减少了369万元。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20104-发展与改革事务科目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481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减少512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下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降51.56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主要原因是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其他发展与改革事务支出减少了366万元。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20105-统计信息事务科目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437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12.60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20106-财政事务科目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1578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增加134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增长9.28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20107-税收事务科目178万元，较上年减少172万元。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20108-审计事务科目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617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减少190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23.54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20111-纪检监察事务科目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1130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减少294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下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20.65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主要原因是行政运行费用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了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333万元。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20113-商贸事务科目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318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431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主要原因是行政运行费用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了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377万元。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20123-民族事务科目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减少137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</w:t>
      </w:r>
      <w:r>
        <w:rPr>
          <w:rFonts w:hint="eastAsia" w:ascii="仿宋" w:hAnsi="仿宋" w:eastAsia="仿宋" w:cs="Arial"/>
          <w:kern w:val="0"/>
          <w:sz w:val="32"/>
          <w:szCs w:val="32"/>
        </w:rPr>
        <w:t>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48.93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其他民族事务支出减少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了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88万元。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20126-档案事务科目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218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减少184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下</w:t>
      </w:r>
      <w:r>
        <w:rPr>
          <w:rFonts w:hint="eastAsia" w:ascii="仿宋" w:hAnsi="仿宋" w:eastAsia="仿宋" w:cs="Arial"/>
          <w:kern w:val="0"/>
          <w:sz w:val="32"/>
          <w:szCs w:val="32"/>
        </w:rPr>
        <w:t>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45.77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了档案馆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项目经费169万元。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20128-民主党派及工商联事务科目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4.05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20129-群众团体事务科目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583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减少175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</w:t>
      </w:r>
      <w:r>
        <w:rPr>
          <w:rFonts w:hint="eastAsia" w:ascii="仿宋" w:hAnsi="仿宋" w:eastAsia="仿宋" w:cs="Arial"/>
          <w:kern w:val="0"/>
          <w:sz w:val="32"/>
          <w:szCs w:val="32"/>
        </w:rPr>
        <w:t>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23.09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20131-党委办公厅(室)及相关机构事务科目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1189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减少978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</w:t>
      </w:r>
      <w:r>
        <w:rPr>
          <w:rFonts w:hint="eastAsia" w:ascii="仿宋" w:hAnsi="仿宋" w:eastAsia="仿宋" w:cs="Arial"/>
          <w:kern w:val="0"/>
          <w:sz w:val="32"/>
          <w:szCs w:val="32"/>
        </w:rPr>
        <w:t>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45.13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主要是其他</w:t>
      </w:r>
      <w:r>
        <w:rPr>
          <w:rFonts w:hint="eastAsia" w:ascii="仿宋" w:hAnsi="仿宋" w:eastAsia="仿宋" w:cs="Arial"/>
          <w:kern w:val="0"/>
          <w:sz w:val="32"/>
          <w:szCs w:val="32"/>
        </w:rPr>
        <w:t>党委办公厅(室)及相关机构事务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支出减少了861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  <w:highlight w:val="yellow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20132-组织事务科目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717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减少210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22.65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20133-宣传事务科目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540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减少124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</w:t>
      </w:r>
      <w:r>
        <w:rPr>
          <w:rFonts w:hint="eastAsia" w:ascii="仿宋" w:hAnsi="仿宋" w:eastAsia="仿宋" w:cs="Arial"/>
          <w:kern w:val="0"/>
          <w:sz w:val="32"/>
          <w:szCs w:val="32"/>
        </w:rPr>
        <w:t>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18.67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20134-统战事务科目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432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15.82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20135-对外联络事务科目0万元，较上年持平。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20136-其他共产党事务支出科目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11.90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20137-网信事务科目0万元，较上年持平。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20138-市场监督管理事务科目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1653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减少460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</w:t>
      </w:r>
      <w:r>
        <w:rPr>
          <w:rFonts w:hint="eastAsia" w:ascii="仿宋" w:hAnsi="仿宋" w:eastAsia="仿宋" w:cs="Arial"/>
          <w:kern w:val="0"/>
          <w:sz w:val="32"/>
          <w:szCs w:val="32"/>
        </w:rPr>
        <w:t>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21.77%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主要原因是行政运行费用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了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347万元。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20199-其他一般公共服务支出科目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（二）202-外交支出科目0万元，较上年持平。其中：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20201-外交管理事务科目0万元，较上年持平。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20202-驻外机构科目0万元，较上年持平。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20203-对外援助科目0万元，较上年持平。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20204-国际组织科目0万元，较上年持平。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20205-对外合作与交流科目0万元，较上年持平。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20206-对外宣传科目0万元，较上年持平。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20207-边界勘界联检科目0万元，较上年持平。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20208-国际发展合作科目0万元，较上年持平。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20299-其他外交支出科目0万元，较上年持平。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（三）204-公共安全支出科目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11778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减少582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</w:t>
      </w:r>
      <w:r>
        <w:rPr>
          <w:rFonts w:hint="eastAsia" w:ascii="仿宋" w:hAnsi="仿宋" w:eastAsia="仿宋" w:cs="Arial"/>
          <w:kern w:val="0"/>
          <w:sz w:val="32"/>
          <w:szCs w:val="32"/>
        </w:rPr>
        <w:t>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4.71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20401-武装警察部队科目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46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减少288万元，下</w:t>
      </w:r>
      <w:r>
        <w:rPr>
          <w:rFonts w:hint="eastAsia" w:ascii="仿宋" w:hAnsi="仿宋" w:eastAsia="仿宋" w:cs="Arial"/>
          <w:kern w:val="0"/>
          <w:sz w:val="32"/>
          <w:szCs w:val="32"/>
        </w:rPr>
        <w:t>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86.23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%。主要是因为减少了武警中队项目支出288万元。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20402-公安科目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10314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减少247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</w:t>
      </w:r>
      <w:r>
        <w:rPr>
          <w:rFonts w:hint="eastAsia" w:ascii="仿宋" w:hAnsi="仿宋" w:eastAsia="仿宋" w:cs="Arial"/>
          <w:kern w:val="0"/>
          <w:sz w:val="32"/>
          <w:szCs w:val="32"/>
        </w:rPr>
        <w:t>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2.34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20404-检察科目60万元，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20406-司法科目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1251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减少169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</w:t>
      </w:r>
      <w:r>
        <w:rPr>
          <w:rFonts w:hint="eastAsia" w:ascii="仿宋" w:hAnsi="仿宋" w:eastAsia="仿宋" w:cs="Arial"/>
          <w:kern w:val="0"/>
          <w:sz w:val="32"/>
          <w:szCs w:val="32"/>
        </w:rPr>
        <w:t>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11.90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20407-监狱科目0万元，较上年持平。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20408-强制隔离戒毒科目0万元，较上年持平。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20409-国家保密科目0万元，较上年持平。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20410-缉私警察科目0万元，较上年持平。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20411-海警科目0万元，较上年持平。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20499-其他公共安全支出科目107万元，较上年增加84万元。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（四）205-教育支出科目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73149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1.33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%。其中：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20501-教育管理事务科目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1190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5.68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20502-普通教育科目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66825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771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1.17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20503-职业教育科目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301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38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，下降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11.21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20504-成人教育科目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持平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20505-广播电视教育科目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1.47%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20506-留学教育科目0万元，较上年持平。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20507-特殊教育科目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增加32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增长4.72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20508-进修及培训科目1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723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12.10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20509-教育费附加安排的支出科目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770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增加57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增长7.99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20599-其他教育支出科目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1496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减少110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下</w:t>
      </w:r>
      <w:r>
        <w:rPr>
          <w:rFonts w:hint="eastAsia" w:ascii="仿宋" w:hAnsi="仿宋" w:eastAsia="仿宋" w:cs="Arial"/>
          <w:kern w:val="0"/>
          <w:sz w:val="32"/>
          <w:szCs w:val="32"/>
        </w:rPr>
        <w:t>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6.85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（五）206-科学技术支出科目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698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增加110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增长18.71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 20601-科学技术管理事务科目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增加80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万元。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20602-基础研究科目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减少50万元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20603-应用研究科目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减少43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20604-技术研究与开发科目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188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增加24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增长14.63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20606-社会科学科目0万元，较上年持平。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20607-科学技术普及科目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20.30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20608-科技交流与合作科目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增加100万元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20609-科技重大项目科目0万元，较上年持平。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20699-其他科学技术支出科目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42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（六）207-文化旅游体育与传媒支出科目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7572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减少930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下降10.94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20701-文化和旅游科目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4116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减少2267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下降35.52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文化和旅游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支出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2331万元。</w:t>
      </w:r>
    </w:p>
    <w:p>
      <w:pPr>
        <w:spacing w:line="540" w:lineRule="exact"/>
        <w:ind w:firstLine="640" w:firstLineChars="200"/>
        <w:rPr>
          <w:rFonts w:hint="default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20702-文物科目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2457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1582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180.80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主要是因为增加了长征精神现场教学点项目支出1500万元。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20703-体育科目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70.00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2070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-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新闻出版电影</w:t>
      </w:r>
      <w:r>
        <w:rPr>
          <w:rFonts w:hint="eastAsia" w:ascii="仿宋" w:hAnsi="仿宋" w:eastAsia="仿宋" w:cs="Arial"/>
          <w:kern w:val="0"/>
          <w:sz w:val="32"/>
          <w:szCs w:val="32"/>
        </w:rPr>
        <w:t>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2.44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20708-广播电视科目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813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减少191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下降19.02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default" w:ascii="仿宋" w:hAnsi="仿宋" w:eastAsia="仿宋" w:cs="Arial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20799-其他文化体育与传媒支出科目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120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0.84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 (七）208-社会保障和就业支出科目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41185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增加3549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增长9.43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 20801-人力资源和社会保障管理事务科目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1.72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20802-民政管理事务科目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969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15.96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20804-补充全国社会保障基金科目0万元，较上年持平。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20805-行政事业单位离退休科目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11450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增加1337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增长13.22</w:t>
      </w:r>
      <w:r>
        <w:rPr>
          <w:rFonts w:hint="eastAsia" w:ascii="仿宋" w:hAnsi="仿宋" w:eastAsia="仿宋" w:cs="Arial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20806-企业改革补助科目0万元，较上年持平。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20807-就业补助科目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1239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减少142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下降40.96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20808-抚恤科目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940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40.9621.11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20809-退役安置科目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增加47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增长11.93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20810-社会福利科目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1477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3.58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20811-残疾人事业科目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12.08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20816-红十字事业科目0万元，较上年持平。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20819-最低生活保障科目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4457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592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15.32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20820-临时救助科目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389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增加47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增长13.74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20821-特困人员救助供养科目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1125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增加116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增长11.50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20824-补充道路交通事故社会救助基金科目0万元，较上年持平。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20825-其他生活救助科目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102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7.37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20826-财政对基本养老保险基金的补助科目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12538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增长3.90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20827-财政对其他社会保险基金的补助科目0万元，较上年持平。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20828-退役军人管理事务科目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6.15%。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20830-财政代缴社会保险费支出科目174万元，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2.25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20899-其他社会保障和就业支出科目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146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增加15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增长11.45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（八）210-卫生健康支出科目2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9933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0.66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21001-卫生健康管理事务科目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743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20.03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21002-公立医院科目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7504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766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11.37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21003-基层医疗卫生机构科目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减少498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下降8.09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21004-公共卫生科目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7969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1920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31.74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21006-中医药科目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21007-计划生育事务科目1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1.87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21011-行政事业单位医疗科目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1128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 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减少155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,下降12.08%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21012-财政对基本医疗保险基金的补助科目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4443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1062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31.41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21013-医疗救助科目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781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21014-优抚对象医疗科目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42.31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21015-医疗保障管理事务科目0万元，较上年持平。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21016-老龄卫生健康事务科目0万元，较上年持平。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21099-其他卫生健康支出科目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213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减少3758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（九）211-节能环保支出科目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4067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5.83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21101-环境保护管理事务科目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2110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-环境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监测与监察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减少26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21103-污染防治科目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2543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减少108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下降4.07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21104-自然生态保护科目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增加653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21105-天然林保护科目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468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减少328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下降41.21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停伐补助省级专项资金支出减少了394万元。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21106-退耕还林科目0万元，较上年持平。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21107-风沙荒漠治理科目0万元，较上年持平。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21108-退牧还草科目0万元，较上年持平。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21109-已垦草原退耕还草科目0万元，较上年持平。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21110-能源节约利用科目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减少201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21111-污染减排科目0万元，较上年持平。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2111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</w:rPr>
        <w:t>-可再生能源科目0万元，较上年持平。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21113-循环经济科目0万元，较上年持平。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21114-能源管理事务科目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21199-其他节能环保支出科目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390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增加269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增长222.31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其他节能环保支出科目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省市专项资金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了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269万元。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（十）212-城乡社区支出科目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20191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万元，较上年将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增加6762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增长50.35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%。其中：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21201-城乡社区管理事务科目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2679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534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24.90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21202-城乡社区规划与管理科目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205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万元。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21203-城乡社区公共设施科目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3625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减少1743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下降32.47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了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水上儿童公园、红色大道等项目支出1771万元。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21205-城乡社区环境卫生科目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减少503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下降26.29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21206-建设市场管理与监督科目0万元，较上年持平。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212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99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-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其他城乡社区支出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12179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增加8269万元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（十一）213-农林水支出科目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43583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616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1.43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21301-农业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农村</w:t>
      </w:r>
      <w:r>
        <w:rPr>
          <w:rFonts w:hint="eastAsia" w:ascii="仿宋" w:hAnsi="仿宋" w:eastAsia="仿宋" w:cs="Arial"/>
          <w:kern w:val="0"/>
          <w:sz w:val="32"/>
          <w:szCs w:val="32"/>
        </w:rPr>
        <w:t>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21217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减少406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下降1.88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21302-林业和草原科目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7373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减少1565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下降17.51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21303-水利科目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8711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增加3712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增长74.25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主要是因为增加了中小河流域治理项目支出2485万元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21305-巩固脱贫衔接乡村振兴科目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5511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减少1791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万元,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下降24.53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21307-农村综合改革科目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增加225万元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21308-普惠金融发展支出科目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47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21309-目标价格补贴科目0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 xml:space="preserve">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21399-其他农林水支出科目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504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488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 xml:space="preserve">万元。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（十二）214-交通运输支出科目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10402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减少5875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下降36.09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%。其中：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21401-公路水路运输科目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6575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减少4365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万元,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下降39.90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了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公路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建设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省市专项资金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21402-铁路运输科目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3557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增加3428万元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21403-民用航空运输科目0万元，较上年持平。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21404-成品油价格改革对交通运输的补贴科目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21405-邮政业支出科目0万元，较上年持平。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21406-车辆购置税支出科目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245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4220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21499-其他交通运输支出科目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减少718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（十三）215-资源勘探信息等支出科目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2070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减少2113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下降50.51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21501-资源勘探开发科目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减少54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21502-制造业科目0万元，较上年持平。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21503-建筑业科目0万元，较上年持平。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21505-工业和信息产业监管科目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1229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减少1432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下降53.81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21507-国有资产监管科目0万元，较上年持平。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21508-支持中小企业发展和管理支出科目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617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21599-其他资源勘探信息等支出科目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223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减少176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（十四）216-商业服务业等支出科目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1629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减少1154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下降41.47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21602-商业流通事务科目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821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减少1427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21606-涉外发展服务支出科目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627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增加93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增长17.42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21699-其他商业服务业等支出科目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181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增加180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万元。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了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服务业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发展引导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资金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180万元。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（十五）217-金融支出科目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增长38.36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21701-金融部门行政支出科目0万元，较上年持平。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21702-金融部门监管支出科目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21703-金融发展支出科目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万元。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21704-金融调控支出科目0万元，较上年持平。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21799-其他金融支出科目0万元，较上年持平。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（十六）219-援助其他地区支出科目0万元，较上年持平。其中：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21901-一般公共服务科目0万元，较上年持平。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21902-教育科目0万元，较上年持平。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21903-文化体育与传媒科目0万元，较上年持平。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21904-医疗卫生科目0万元，较上年持平。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21905-节能环保科目0万元，较上年持平。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21906-农业科目0万元，较上年持平。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21907-交通运输科目0万元，较上年持平。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21908-住房保障科目0万元，较上年持平。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21999-其他支出科目0万元，较上年持平。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（十七）220-自然资源海洋气象等支出科目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3762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减少2239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下降37.31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%。其中：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22001-自然资源事务科目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3593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减少2232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下降38.32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主要是因为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了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自然资源事务科目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省市专项资金。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22005-气象事务科目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下降3.98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22099-其他自然资源海洋气象等支出科目0万元，较上年持平。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（十八）221-住房保障支出科目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5180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增加1645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增长46.53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22101-保障性安居工程支出科目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3469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增加134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增长4.02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22102-住房改革支出科目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1711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1511万元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22103-城乡社区住宅科目0万元，较上年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持平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(十九)222-粮油物资储备支出科目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789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减少135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下降14.61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%。其中：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22201-粮油事务科目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789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2.20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22203-能源储备科目0万元，较上年持平。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22204-粮油储备科目0万元，较上年持平。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22205-重要商品储备科目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减少152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（二十）224-灾害防治及应急管理支出科目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11.35</w:t>
      </w:r>
      <w:r>
        <w:rPr>
          <w:rFonts w:hint="eastAsia" w:ascii="仿宋" w:hAnsi="仿宋" w:eastAsia="仿宋" w:cs="Arial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Arial"/>
          <w:kern w:val="0"/>
          <w:sz w:val="32"/>
          <w:szCs w:val="32"/>
        </w:rPr>
        <w:t>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22401-应急管理事务科目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779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减少133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,下降14.58%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22402-消防救援事务科目912万元，较上年增加125万元,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15.88</w:t>
      </w:r>
      <w:r>
        <w:rPr>
          <w:rFonts w:hint="eastAsia" w:ascii="仿宋" w:hAnsi="仿宋" w:eastAsia="仿宋" w:cs="Arial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22404煤矿安全科目0万元，较上年持平。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22405-地震事务科目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26.09%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2406-自然灾害防治科目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303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增加195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22407- 自然灾害救灾及恢复重建支出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持平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yellow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224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" w:hAnsi="仿宋" w:eastAsia="仿宋" w:cs="Arial"/>
          <w:kern w:val="0"/>
          <w:sz w:val="32"/>
          <w:szCs w:val="32"/>
        </w:rPr>
        <w:t>-其他灾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害防治及应急管理支出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减少20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（二十一）229-其他支出科目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增加34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22999-</w:t>
      </w:r>
      <w:r>
        <w:rPr>
          <w:rFonts w:hint="eastAsia" w:ascii="仿宋" w:hAnsi="仿宋" w:eastAsia="仿宋" w:cs="Arial"/>
          <w:kern w:val="0"/>
          <w:sz w:val="32"/>
          <w:szCs w:val="32"/>
        </w:rPr>
        <w:t>其他支出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增加34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（二十二）232-债务付息支出科目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9835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减少20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下降0.20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%。其中：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23201-中央政府国内债务付息支出科目0万元，较上年持平。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23202-中央政府国外债务付息支出科目0万元，较上年持平。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23203-地方政府一般债务付息支出科目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9835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减少20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下降0.20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（二十三）233-债务发行费用支出科目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下降4.35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23301-中央政府国内债务发行费用支出科目0万元，较上年持平。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23302-中央政府国外债务发行费用支出科目0万元，较上年持平。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23303-地方政府一般债务发行费用支出科目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下降4.35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二、财政转移支付安排情况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年度宁化县对下税收返还和转移支付决算数为0万元，比20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Arial"/>
          <w:kern w:val="0"/>
          <w:sz w:val="32"/>
          <w:szCs w:val="32"/>
        </w:rPr>
        <w:t>年增加0万元，增长0%。原因是：宁化县所辖乡镇作为一级预算部门管理，未单独编制政府预算，为此没有一般公共预算对下税收返还和转移支付决算数据。具体情况如下：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(一)</w:t>
      </w:r>
      <w:r>
        <w:rPr>
          <w:rFonts w:hint="eastAsia" w:ascii="仿宋" w:hAnsi="仿宋" w:eastAsia="仿宋"/>
          <w:kern w:val="0"/>
          <w:sz w:val="32"/>
          <w:szCs w:val="32"/>
        </w:rPr>
        <w:t>税收返还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年度宁化县对下税收返还决算数为0万元，比20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Arial"/>
          <w:kern w:val="0"/>
          <w:sz w:val="32"/>
          <w:szCs w:val="32"/>
        </w:rPr>
        <w:t>年增加0万元，增长0%。其中：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1.所得税基数返还收入0万元，比20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Arial"/>
          <w:kern w:val="0"/>
          <w:sz w:val="32"/>
          <w:szCs w:val="32"/>
        </w:rPr>
        <w:t>年增加0万元，增长0%。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2.成品油价格和税费改革税收返还收入0万元，比20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Arial"/>
          <w:kern w:val="0"/>
          <w:sz w:val="32"/>
          <w:szCs w:val="32"/>
        </w:rPr>
        <w:t>年增加0万元，增长0%。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3.增值税税收返还收入0万元，比20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Arial"/>
          <w:kern w:val="0"/>
          <w:sz w:val="32"/>
          <w:szCs w:val="32"/>
        </w:rPr>
        <w:t>年增加0万元，增长0%。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4.消费税税收返还收入0万元，比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Arial"/>
          <w:kern w:val="0"/>
          <w:sz w:val="32"/>
          <w:szCs w:val="32"/>
        </w:rPr>
        <w:t>增加0万元，增长0%。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5.增值税“五五分享”税收返还收入0万元，比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Arial"/>
          <w:kern w:val="0"/>
          <w:sz w:val="32"/>
          <w:szCs w:val="32"/>
        </w:rPr>
        <w:t>增加0万元，增长0%。</w:t>
      </w:r>
    </w:p>
    <w:p>
      <w:pPr>
        <w:spacing w:line="54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（二）一般性转移支付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20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/>
          <w:kern w:val="0"/>
          <w:sz w:val="32"/>
          <w:szCs w:val="32"/>
        </w:rPr>
        <w:t>年度宁化县对下一般转移支付决算数为0万元，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比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Arial"/>
          <w:kern w:val="0"/>
          <w:sz w:val="32"/>
          <w:szCs w:val="32"/>
        </w:rPr>
        <w:t>增加0万元，增长0%。</w:t>
      </w:r>
    </w:p>
    <w:p>
      <w:pPr>
        <w:spacing w:line="54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（三）专项转移支付</w:t>
      </w:r>
    </w:p>
    <w:p>
      <w:pPr>
        <w:spacing w:line="540" w:lineRule="exact"/>
        <w:ind w:firstLine="640" w:firstLineChars="200"/>
      </w:pPr>
      <w:r>
        <w:rPr>
          <w:rFonts w:hint="eastAsia" w:ascii="仿宋" w:hAnsi="仿宋" w:eastAsia="仿宋"/>
          <w:kern w:val="0"/>
          <w:sz w:val="32"/>
          <w:szCs w:val="32"/>
        </w:rPr>
        <w:t>20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/>
          <w:kern w:val="0"/>
          <w:sz w:val="32"/>
          <w:szCs w:val="32"/>
        </w:rPr>
        <w:t>年度宁化县对下专项转移支付决算数为0万元，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比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Arial"/>
          <w:kern w:val="0"/>
          <w:sz w:val="32"/>
          <w:szCs w:val="32"/>
        </w:rPr>
        <w:t>增加0万元，增长0%。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三、</w:t>
      </w:r>
      <w:r>
        <w:rPr>
          <w:rFonts w:hint="eastAsia" w:ascii="黑体" w:hAnsi="黑体" w:eastAsia="黑体"/>
          <w:b/>
          <w:sz w:val="32"/>
          <w:szCs w:val="32"/>
          <w:highlight w:val="none"/>
        </w:rPr>
        <w:t>举借政府债务情况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  <w:t>（一）举借政府债务情况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，省财政核定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我县地方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政府债务限额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573，196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元，其中：一般债务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限额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336,876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专项债务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限额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236,320万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/>
          <w:highlight w:val="none"/>
        </w:rPr>
      </w:pPr>
      <w:r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  <w:t>（二）地方政府债务限额余额情况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地方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政府债务余额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528,874.30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其中：一般债务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294,913.30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专项债务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233,961万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，均未突破省上核定我县的债务限额。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  <w:t>（三）地方政府债券发行情况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2023年省上代我县发行地方政府债券90,089万元，新增债券33,488万元，再融资置换债券56,601万元，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  <w:t>（四）地方政府债券还本付息情况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2023年全县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偿还到期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地方政府债券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62,891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万元，支付到期利息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17,396.94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（其中：一般债务付息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9,718.55万元，专项债务付息7,678.39万元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jc w:val="both"/>
        <w:textAlignment w:val="auto"/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仿宋_GB2312" w:eastAsia="楷体_GB2312" w:cs="仿宋_GB2312"/>
          <w:b w:val="0"/>
          <w:bCs/>
          <w:sz w:val="32"/>
          <w:szCs w:val="32"/>
          <w:highlight w:val="none"/>
          <w:lang w:val="en-US" w:eastAsia="zh-CN"/>
        </w:rPr>
        <w:t>（五）地方政府债券资金使用安排情况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年新增地方政府债券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33,488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主要安排用于教育基础设施、产业园区基础设施等项目建设，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其中：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highlight w:val="none"/>
          <w:lang w:val="en-US" w:eastAsia="zh-CN"/>
        </w:rPr>
        <w:t>一般债券。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highlight w:val="none"/>
          <w:lang w:val="en-US" w:eastAsia="zh-CN"/>
        </w:rPr>
        <w:t>新增地方政府一般债券15,667万元，安排用于：一是教育支出12,767万元，主要用于翠城实验中学（宁化四中迁建）项目6,887万元、滨江实验学校建设项目1,900万元、江下小学建设项目1,200万元、宁化县江下幼儿园建设项目800万元、安远中心学校扩容建设项目600万元、宁化一中图书馆综合楼建设项目500万元、城东中学校园扩容建设项目300万元、宁化县实验小学图书馆综合楼建设项目200万元、宁化县安乐中心幼儿园建设项目180万元、宁化五中学生宿舍食堂综合楼建设项目100万元、宁化县河龙中心幼儿园建设项目100万元；二是交通运输支出1,700万元，用于国道G356线宁化城郊镇瓦庄至石壁客家祖地公路工程800万元、三明市（宁化县）国省干线公路智能化管理暨科技治超工程300万元、县道X794线盖城线邱坑（明溪交界）至泉上公路改建工程300万元、浦梅兴泉城关火车站连接线建设项目300万元；三是城乡社区支出700万元，用于宁化县忠文化休闲广场建设项目700万元；四是水利支出500万元，用于宁化县小型水库雨水情测报和安全监测设施建设项目500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highlight w:val="none"/>
          <w:lang w:val="en-US" w:eastAsia="zh-CN"/>
        </w:rPr>
        <w:t>专项债券。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highlight w:val="none"/>
          <w:lang w:val="en-US" w:eastAsia="zh-CN"/>
        </w:rPr>
        <w:t>新增地方政府专项债券17,821万元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，均为其他地方自行试点项目收益转贷专项债券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，安排用于：宁化华侨经济开发区基础设施（二期）建设项目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7,516万元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highlight w:val="none"/>
          <w:lang w:val="en-US" w:eastAsia="zh-CN"/>
        </w:rPr>
        <w:t>、宁化县城南化工工业集中区基础设施建设项目3,321万元、宁化县2023年老旧小区改造项目2,764万元、宁化县老年人养护中心（县福利中心二期）2,500万元和存量政府投资项目。</w:t>
      </w:r>
    </w:p>
    <w:p>
      <w:pPr>
        <w:keepNext w:val="0"/>
        <w:keepLines w:val="0"/>
        <w:pageBreakBefore w:val="0"/>
        <w:widowControl w:val="0"/>
        <w:numPr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/>
          <w:b/>
          <w:bCs/>
          <w:sz w:val="32"/>
          <w:szCs w:val="32"/>
        </w:rPr>
        <w:t>预算绩效开展情况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绩效跟踪监控,要求加强过程监控,对已纳入我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县</w:t>
      </w:r>
      <w:r>
        <w:rPr>
          <w:rFonts w:hint="eastAsia" w:ascii="仿宋" w:hAnsi="仿宋" w:eastAsia="仿宋" w:cs="仿宋"/>
          <w:sz w:val="32"/>
          <w:szCs w:val="32"/>
        </w:rPr>
        <w:t>绩效目标管理范畴的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284个</w:t>
      </w:r>
      <w:r>
        <w:rPr>
          <w:rFonts w:hint="eastAsia" w:ascii="仿宋" w:hAnsi="仿宋" w:eastAsia="仿宋" w:cs="仿宋"/>
          <w:sz w:val="32"/>
          <w:szCs w:val="32"/>
        </w:rPr>
        <w:t>项目支出,采取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上</w:t>
      </w:r>
      <w:r>
        <w:rPr>
          <w:rFonts w:hint="eastAsia" w:ascii="仿宋" w:hAnsi="仿宋" w:eastAsia="仿宋" w:cs="仿宋"/>
          <w:sz w:val="32"/>
          <w:szCs w:val="32"/>
        </w:rPr>
        <w:t>半年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按半年</w:t>
      </w:r>
      <w:r>
        <w:rPr>
          <w:rFonts w:hint="eastAsia" w:ascii="仿宋" w:hAnsi="仿宋" w:eastAsia="仿宋" w:cs="仿宋"/>
          <w:sz w:val="32"/>
          <w:szCs w:val="32"/>
        </w:rPr>
        <w:t>报方式采集项目的绩效运行信息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，下半年按季度对项目的运行情况进行监控。监控结果作为下年安排预算依据之一。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2.做好上年自评工作。对2022年261个项目情况、96个单位（涉密单位除外）整体支出进行自评。</w:t>
      </w:r>
      <w:r>
        <w:rPr>
          <w:rFonts w:hint="eastAsia" w:ascii="仿宋_GB2312" w:hAnsi="仿宋" w:eastAsia="仿宋_GB2312"/>
          <w:bCs/>
          <w:sz w:val="32"/>
          <w:szCs w:val="32"/>
        </w:rPr>
        <w:t>实行预算绩效管理挂钩机制，对绩效好的项目予以优先保障，对绩效一般的项目加强督促，对绩效差的项目予以调整、削减或取消当年及以后年度预算。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3.完成10个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资金规模较大、社会关注度高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（含</w:t>
      </w:r>
      <w:r>
        <w:rPr>
          <w:rFonts w:hint="eastAsia" w:ascii="仿宋_GB2312" w:hAnsi="仿宋" w:eastAsia="仿宋_GB2312"/>
          <w:bCs/>
          <w:sz w:val="32"/>
          <w:szCs w:val="32"/>
        </w:rPr>
        <w:t>政府债券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2个</w:t>
      </w:r>
      <w:r>
        <w:rPr>
          <w:rFonts w:hint="eastAsia" w:ascii="仿宋_GB2312" w:hAnsi="仿宋" w:eastAsia="仿宋_GB2312"/>
          <w:bCs/>
          <w:sz w:val="32"/>
          <w:szCs w:val="32"/>
        </w:rPr>
        <w:t>项目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项目，通过招投标方式委托有资质第三方机构</w:t>
      </w:r>
      <w:r>
        <w:rPr>
          <w:rFonts w:hint="eastAsia" w:ascii="仿宋_GB2312" w:hAnsi="仿宋" w:eastAsia="仿宋_GB2312"/>
          <w:bCs/>
          <w:sz w:val="32"/>
          <w:szCs w:val="32"/>
        </w:rPr>
        <w:t>开展预算绩效评价管理，达到以点带面，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核减资金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599.46万元</w:t>
      </w:r>
      <w:r>
        <w:rPr>
          <w:rFonts w:hint="eastAsia" w:ascii="仿宋_GB2312" w:hAnsi="仿宋" w:eastAsia="仿宋_GB2312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4.完成（建宁系列案件）关于开展绩效自评抽查工作。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成立了领导小组，抽调业务骨干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16人、组成8个检查小组。此次抽查收回资金215.19万元，相关业务问题均已整改。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ascii="仿宋" w:hAnsi="仿宋" w:eastAsia="仿宋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  <w:font w:name="Raavi">
    <w:panose1 w:val="020B0502040204020203"/>
    <w:charset w:val="00"/>
    <w:family w:val="auto"/>
    <w:pitch w:val="default"/>
    <w:sig w:usb0="00020003" w:usb1="00000000" w:usb2="00000000" w:usb3="00000000" w:csb0="00000001" w:csb1="00000000"/>
  </w:font>
  <w:font w:name="Plantagenet Cherokee">
    <w:panose1 w:val="02020602070100000000"/>
    <w:charset w:val="00"/>
    <w:family w:val="auto"/>
    <w:pitch w:val="default"/>
    <w:sig w:usb0="00000003" w:usb1="00000000" w:usb2="00001000" w:usb3="00000000" w:csb0="00000001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Old English Text MT">
    <w:panose1 w:val="03040902040508030806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rPr>
        <w:lang w:val="zh-CN"/>
      </w:rPr>
      <w:fldChar w:fldCharType="end"/>
    </w:r>
  </w:p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E801750"/>
    <w:rsid w:val="0F826F45"/>
    <w:rsid w:val="13B37F85"/>
    <w:rsid w:val="1CCD4C2E"/>
    <w:rsid w:val="20A92A6C"/>
    <w:rsid w:val="219834EA"/>
    <w:rsid w:val="2C8D55AA"/>
    <w:rsid w:val="305B09BA"/>
    <w:rsid w:val="34DF26AA"/>
    <w:rsid w:val="375551F1"/>
    <w:rsid w:val="41842C85"/>
    <w:rsid w:val="483D38DD"/>
    <w:rsid w:val="49776A54"/>
    <w:rsid w:val="55903221"/>
    <w:rsid w:val="5891423E"/>
    <w:rsid w:val="59730941"/>
    <w:rsid w:val="5C194306"/>
    <w:rsid w:val="5DF15546"/>
    <w:rsid w:val="62E75B9C"/>
    <w:rsid w:val="637865F8"/>
    <w:rsid w:val="65E828D2"/>
    <w:rsid w:val="69D306C5"/>
    <w:rsid w:val="69E470B2"/>
    <w:rsid w:val="6EFC5B27"/>
    <w:rsid w:val="6F6B7BA6"/>
    <w:rsid w:val="7061290A"/>
    <w:rsid w:val="774D6C07"/>
    <w:rsid w:val="78685C88"/>
    <w:rsid w:val="79210F50"/>
    <w:rsid w:val="7A23439B"/>
    <w:rsid w:val="F97D4D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qFormat="1"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新正文"/>
    <w:basedOn w:val="3"/>
    <w:next w:val="4"/>
    <w:qFormat/>
    <w:uiPriority w:val="0"/>
    <w:pPr>
      <w:widowControl/>
      <w:ind w:firstLine="200" w:firstLineChars="200"/>
    </w:pPr>
    <w:rPr>
      <w:rFonts w:ascii="仿宋_GB2312" w:hAnsi="Courier New" w:eastAsia="仿宋_GB2312"/>
      <w:sz w:val="32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"/>
    <w:basedOn w:val="1"/>
    <w:next w:val="6"/>
    <w:semiHidden/>
    <w:unhideWhenUsed/>
    <w:qFormat/>
    <w:uiPriority w:val="0"/>
    <w:pPr>
      <w:spacing w:after="120"/>
      <w:ind w:left="420" w:leftChars="200"/>
    </w:pPr>
  </w:style>
  <w:style w:type="paragraph" w:styleId="6">
    <w:name w:val="Body Text First Indent 2"/>
    <w:basedOn w:val="5"/>
    <w:next w:val="1"/>
    <w:semiHidden/>
    <w:unhideWhenUsed/>
    <w:qFormat/>
    <w:uiPriority w:val="0"/>
    <w:pPr>
      <w:ind w:firstLine="420" w:firstLineChars="200"/>
    </w:pPr>
    <w:rPr>
      <w:rFonts w:cs="Calibri"/>
      <w:szCs w:val="20"/>
    </w:rPr>
  </w:style>
  <w:style w:type="paragraph" w:styleId="7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1">
    <w:name w:val="Strong"/>
    <w:basedOn w:val="10"/>
    <w:qFormat/>
    <w:uiPriority w:val="22"/>
    <w:rPr>
      <w:b/>
      <w:bCs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p0"/>
    <w:basedOn w:val="1"/>
    <w:unhideWhenUsed/>
    <w:qFormat/>
    <w:uiPriority w:val="99"/>
    <w:pPr>
      <w:widowControl/>
    </w:pPr>
    <w:rPr>
      <w:rFonts w:hint="eastAsia" w:ascii="Calibri" w:hAnsi="Calibri"/>
    </w:rPr>
  </w:style>
  <w:style w:type="paragraph" w:customStyle="1" w:styleId="14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15">
    <w:name w:val="页眉 Char"/>
    <w:basedOn w:val="10"/>
    <w:link w:val="4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8"/>
    <w:qFormat/>
    <w:uiPriority w:val="99"/>
    <w:rPr>
      <w:sz w:val="18"/>
      <w:szCs w:val="18"/>
    </w:rPr>
  </w:style>
  <w:style w:type="character" w:customStyle="1" w:styleId="17">
    <w:name w:val="批注框文本 Char"/>
    <w:basedOn w:val="10"/>
    <w:link w:val="7"/>
    <w:semiHidden/>
    <w:qFormat/>
    <w:uiPriority w:val="99"/>
    <w:rPr>
      <w:sz w:val="18"/>
      <w:szCs w:val="18"/>
    </w:rPr>
  </w:style>
  <w:style w:type="paragraph" w:customStyle="1" w:styleId="18">
    <w:name w:val="Default"/>
    <w:unhideWhenUsed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Times New Roman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20</Pages>
  <Words>1674</Words>
  <Characters>9547</Characters>
  <Lines>79</Lines>
  <Paragraphs>22</Paragraphs>
  <TotalTime>5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2020-11-19T09:26:00Z</dcterms:created>
  <dc:creator>Administrator</dc:creator>
  <cp:lastModifiedBy>吴永秀</cp:lastModifiedBy>
  <cp:lastPrinted>2022-08-07T07:23:00Z</cp:lastPrinted>
  <dcterms:modified xsi:type="dcterms:W3CDTF">2024-08-16T02:33:32Z</dcterms:modified>
  <dc:title>附件2: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E95241C87F714167B2666C6A618D53C1</vt:lpwstr>
  </property>
</Properties>
</file>